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50" w:rsidRDefault="002E1C50"/>
    <w:tbl>
      <w:tblPr>
        <w:tblStyle w:val="a4"/>
        <w:tblW w:w="9686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914BFD" w:rsidTr="002E1C50">
        <w:trPr>
          <w:trHeight w:val="560"/>
        </w:trPr>
        <w:tc>
          <w:tcPr>
            <w:tcW w:w="9686" w:type="dxa"/>
            <w:vAlign w:val="center"/>
          </w:tcPr>
          <w:p w:rsidR="00914BFD" w:rsidRPr="004E636F" w:rsidRDefault="00914BFD" w:rsidP="00761759">
            <w:pPr>
              <w:contextualSpacing/>
              <w:jc w:val="center"/>
              <w:rPr>
                <w:rFonts w:ascii="Cambria" w:eastAsia="Yu Gothic UI Light" w:hAnsi="Cambria" w:cs="Cambria"/>
                <w:b/>
                <w:sz w:val="56"/>
                <w:szCs w:val="56"/>
              </w:rPr>
            </w:pPr>
            <w:r w:rsidRPr="004E636F">
              <w:rPr>
                <w:rFonts w:ascii="Cambria" w:eastAsia="Yu Gothic UI Light" w:hAnsi="Cambria" w:cs="Cambria"/>
                <w:b/>
                <w:color w:val="C00000"/>
                <w:sz w:val="56"/>
                <w:szCs w:val="56"/>
              </w:rPr>
              <w:t>Памятка</w:t>
            </w:r>
            <w:r w:rsidR="00761759">
              <w:rPr>
                <w:rFonts w:ascii="Cambria" w:eastAsia="Yu Gothic UI Light" w:hAnsi="Cambria" w:cs="Cambria"/>
                <w:b/>
                <w:color w:val="C00000"/>
                <w:sz w:val="56"/>
                <w:szCs w:val="56"/>
              </w:rPr>
              <w:t xml:space="preserve"> </w:t>
            </w:r>
            <w:r w:rsidR="00761759" w:rsidRPr="004E636F">
              <w:rPr>
                <w:rFonts w:ascii="Cambria" w:eastAsia="Yu Gothic UI Light" w:hAnsi="Cambria" w:cs="Cambria"/>
                <w:b/>
                <w:sz w:val="32"/>
                <w:szCs w:val="32"/>
              </w:rPr>
              <w:t>по обследованию на</w:t>
            </w:r>
            <w:r w:rsidR="00761759" w:rsidRPr="004E636F">
              <w:rPr>
                <w:rFonts w:ascii="Cambria" w:eastAsia="Yu Gothic UI Light" w:hAnsi="Cambria" w:cs="Cambria"/>
                <w:sz w:val="32"/>
                <w:szCs w:val="32"/>
              </w:rPr>
              <w:t xml:space="preserve"> </w:t>
            </w:r>
            <w:r w:rsidR="00761759" w:rsidRPr="004E636F">
              <w:rPr>
                <w:rFonts w:ascii="Cambria" w:eastAsia="Yu Gothic UI Light" w:hAnsi="Cambria" w:cs="Cambria"/>
                <w:b/>
                <w:color w:val="C00000"/>
                <w:sz w:val="32"/>
                <w:szCs w:val="32"/>
                <w:lang w:val="en-US"/>
              </w:rPr>
              <w:t>COVID</w:t>
            </w:r>
            <w:r w:rsidR="00761759" w:rsidRPr="004E636F">
              <w:rPr>
                <w:rFonts w:ascii="Cambria" w:eastAsia="Yu Gothic UI Light" w:hAnsi="Cambria" w:cs="Cambria"/>
                <w:b/>
                <w:color w:val="C00000"/>
                <w:sz w:val="32"/>
                <w:szCs w:val="32"/>
              </w:rPr>
              <w:t>-19</w:t>
            </w:r>
          </w:p>
        </w:tc>
      </w:tr>
    </w:tbl>
    <w:p w:rsidR="00013C6C" w:rsidRPr="002E1C50" w:rsidRDefault="00013C6C" w:rsidP="00013C6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4F4F4F"/>
          <w:sz w:val="16"/>
          <w:szCs w:val="16"/>
          <w:lang w:eastAsia="ru-RU"/>
        </w:rPr>
      </w:pPr>
    </w:p>
    <w:tbl>
      <w:tblPr>
        <w:tblStyle w:val="a4"/>
        <w:tblpPr w:leftFromText="180" w:rightFromText="180" w:vertAnchor="text" w:horzAnchor="margin" w:tblpY="25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2E1C50" w:rsidRPr="002E1C50" w:rsidTr="002E1C50">
        <w:trPr>
          <w:trHeight w:val="993"/>
        </w:trPr>
        <w:tc>
          <w:tcPr>
            <w:tcW w:w="1985" w:type="dxa"/>
          </w:tcPr>
          <w:p w:rsidR="00A76973" w:rsidRPr="002E1C50" w:rsidRDefault="00EE5DC7" w:rsidP="002E1C50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E1C50">
              <w:rPr>
                <w:rFonts w:ascii="Times New Roman" w:eastAsia="Times New Roman" w:hAnsi="Times New Roman" w:cs="Times New Roman"/>
                <w:b/>
                <w:noProof/>
                <w:color w:val="4F4F4F"/>
                <w:sz w:val="24"/>
                <w:szCs w:val="24"/>
                <w:lang w:eastAsia="ru-RU"/>
              </w:rPr>
              <w:drawing>
                <wp:inline distT="0" distB="0" distL="0" distR="0" wp14:anchorId="6DFDF636" wp14:editId="42DB6ACE">
                  <wp:extent cx="922352" cy="737881"/>
                  <wp:effectExtent l="0" t="0" r="0" b="5080"/>
                  <wp:docPr id="1" name="Рисунок 1" descr="C:\Users\338_4\AppData\Local\Microsoft\Windows\INetCache\Content.Word\IMG_20200922_094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38_4\AppData\Local\Microsoft\Windows\INetCache\Content.Word\IMG_20200922_094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838" cy="75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013C6C" w:rsidRPr="002E1C50" w:rsidRDefault="00761759" w:rsidP="002E1C50">
            <w:pPr>
              <w:shd w:val="clear" w:color="auto" w:fill="FFFFFF"/>
              <w:spacing w:line="320" w:lineRule="exact"/>
              <w:ind w:left="20" w:right="20" w:firstLine="70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76175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 поликлиниках сформированы бригады медицинских работников, осуществляющие отбор биологического материала для лабораторных исследований на наличие новой коронавирусной инфекции COVID-19. </w:t>
            </w:r>
          </w:p>
        </w:tc>
      </w:tr>
    </w:tbl>
    <w:p w:rsidR="002E1C50" w:rsidRDefault="002E1C50" w:rsidP="002E1C50">
      <w:p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2E1C50" w:rsidRPr="00761759" w:rsidRDefault="002E1C50" w:rsidP="002E1C50">
      <w:p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C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Список пациентов,</w:t>
      </w:r>
      <w:r w:rsidRPr="007617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 которым выезжают бригады формируются по заявкам участковых врачей и службы неотложной помощи, исходя из медицинских показаний и предписаний Роспотребнадзора. </w:t>
      </w:r>
      <w:r w:rsidRPr="007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на COVID-19 обязательно выполняется лицам, определенным постановлением главного санитарного врача России от 22.05.2020 №15 и приказом Минздрава России от 19.03.2020 №198.</w:t>
      </w:r>
    </w:p>
    <w:p w:rsidR="002E1C50" w:rsidRPr="002E1C50" w:rsidRDefault="00B334A6" w:rsidP="002E1C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759" w:rsidRPr="002E1C50" w:rsidRDefault="00761759" w:rsidP="002E1C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обязательном порядке лабораторные обследования проводятся людям с внебольничной пневмонией; людям старше 65 с симптомами респираторного заболевания; беременным на 38 неделе и более, врачам с риском инфицирования </w:t>
      </w:r>
      <w:r w:rsidR="002E1C50" w:rsidRPr="007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COVID-19 </w:t>
      </w:r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рабочих местах; контактным с больным </w:t>
      </w:r>
      <w:r w:rsidR="002E1C50" w:rsidRPr="007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COVID-19 </w:t>
      </w:r>
      <w:r w:rsidR="002E1C50"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медицинского наблюдения на 8 – 10 календарный день с даты последнего контакта. </w:t>
      </w:r>
      <w:r w:rsid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догоспитальном этапе поликлиниками обеспечивается проведение лабораторного исследования биологического материала пациента (мазок из </w:t>
      </w:r>
      <w:proofErr w:type="spellStart"/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</w:t>
      </w:r>
      <w:proofErr w:type="spellEnd"/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ротоглотки) </w:t>
      </w:r>
      <w:r w:rsidR="002E1C50"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новой коронавирусной инфекции COVID-19 методом ПЦР в рамках ОМС (не ранее 7 календарных дней до поступления).</w:t>
      </w:r>
    </w:p>
    <w:p w:rsidR="00761759" w:rsidRPr="002E1C50" w:rsidRDefault="00761759" w:rsidP="002E1C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1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4"/>
        <w:gridCol w:w="2646"/>
      </w:tblGrid>
      <w:tr w:rsidR="00FF2D20" w:rsidRPr="002E1C50" w:rsidTr="002E1C50">
        <w:trPr>
          <w:trHeight w:val="1350"/>
        </w:trPr>
        <w:tc>
          <w:tcPr>
            <w:tcW w:w="7938" w:type="dxa"/>
          </w:tcPr>
          <w:p w:rsidR="004E636F" w:rsidRPr="004E636F" w:rsidRDefault="004E636F" w:rsidP="002E1C50">
            <w:pPr>
              <w:shd w:val="clear" w:color="auto" w:fill="FFFFFF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случаях граждане могут выполнить обследования (ПЦР или ИФА) на </w:t>
            </w:r>
            <w:r w:rsidR="002E1C50" w:rsidRPr="004E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2E1C50" w:rsidRPr="007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COVID</w:t>
            </w:r>
            <w:r w:rsidR="002E1C50" w:rsidRPr="007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-19 </w:t>
            </w:r>
            <w:r w:rsidRPr="004E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личных или иных средств в рамках оказания платных медицинских услуг в различных медицинских организациях</w:t>
            </w:r>
            <w:r w:rsidR="002E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</w:t>
            </w:r>
          </w:p>
          <w:p w:rsidR="00FF2D20" w:rsidRPr="002E1C50" w:rsidRDefault="00FF2D20" w:rsidP="002E1C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:rsidR="00FF2D20" w:rsidRPr="002E1C50" w:rsidRDefault="002E1C50" w:rsidP="002E1C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г</w:t>
            </w:r>
            <w:r w:rsidR="00FF2D20" w:rsidRPr="002E1C5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де можно сдать тест на коронавирус в Ростове-на-Дону?</w:t>
            </w:r>
          </w:p>
        </w:tc>
        <w:tc>
          <w:tcPr>
            <w:tcW w:w="2552" w:type="dxa"/>
          </w:tcPr>
          <w:p w:rsidR="00FF2D20" w:rsidRPr="002E1C50" w:rsidRDefault="00FF2D20" w:rsidP="002E1C50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E1C5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71DDB3" wp14:editId="24530381">
                  <wp:extent cx="1534845" cy="826936"/>
                  <wp:effectExtent l="0" t="0" r="8255" b="0"/>
                  <wp:docPr id="8" name="Рисунок 8" descr="https://orenems.ru/assets/images/cat/3209/v9sm4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renems.ru/assets/images/cat/3209/v9sm4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224" cy="84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Клинико-диагностическая лаборатория Муниципального бюджетного учреждения здравоохранения «Клинико-диагностический центр «Здоровье» города Ростова-на-Дону;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Бактериологическая лаборатория Частного учреждения здравоохранения «Клиническая больница РЖД-Медицина» г. Ростов-на-Дону;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клинической патоморфологии и молекулярно-биологических исследований государственного автономного учреждения Ростовской области «Областной консультативно-диагностический центр»;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Клинико-диагностическая лаборатория государственного бюджетного учреждения Ростовской области «Кожно-венерологический диспансер»;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Клинико-диагностическая лаборатория «Ростовская клиническая больница» Федерального государственного бюджетного учреждения здравоохранения «Южный окружной медицинский центр Федерального медико-биологического агентства»;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вирусологии Федерального государственного бюджетного учреждения «Национальный медицинский исследовательский центр онкологии» Министерства здравоохранения Российской Федерации;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ФГБОУ ВО </w:t>
      </w:r>
      <w:proofErr w:type="spellStart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РостГМУ</w:t>
      </w:r>
      <w:proofErr w:type="spellEnd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Ситилаб</w:t>
      </w:r>
      <w:proofErr w:type="spellEnd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-Дон» 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"ИНВИТРО-РОСТОВ-НА-ДОНУ" 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«Альфа-Центр Здоровья»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«Наука»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bookmarkStart w:id="0" w:name="_GoBack"/>
      <w:bookmarkEnd w:id="0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мотест</w:t>
      </w:r>
      <w:proofErr w:type="spellEnd"/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«КДЛ Домодедово-тест» </w:t>
      </w:r>
    </w:p>
    <w:p w:rsidR="004E636F" w:rsidRPr="004E636F" w:rsidRDefault="004E636F" w:rsidP="002E1C50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Центр медицинских осмотров «Симплекс»</w:t>
      </w:r>
    </w:p>
    <w:p w:rsidR="004E636F" w:rsidRDefault="004E636F" w:rsidP="002E1C50">
      <w:pPr>
        <w:shd w:val="clear" w:color="auto" w:fill="FFFFFF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6F" w:rsidRPr="004E636F" w:rsidRDefault="004E636F" w:rsidP="002E1C50">
      <w:pPr>
        <w:shd w:val="clear" w:color="auto" w:fill="FFFFFF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! </w:t>
      </w:r>
      <w:r w:rsidRPr="004E636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Исследование предназначено для пациентов не имеющих признаков ОРВИ: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</w:r>
      <w:r w:rsidRPr="004E636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насморка, кашля, высокой температуры, мышечной боли, слабости.</w:t>
      </w:r>
    </w:p>
    <w:p w:rsidR="00D56A52" w:rsidRPr="00D56A52" w:rsidRDefault="00D56A52" w:rsidP="002E1C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6A52" w:rsidRPr="00D56A52" w:rsidSect="00FE382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6FC5"/>
    <w:multiLevelType w:val="hybridMultilevel"/>
    <w:tmpl w:val="57E08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577135"/>
    <w:multiLevelType w:val="hybridMultilevel"/>
    <w:tmpl w:val="28F0EBF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F5B0B"/>
    <w:multiLevelType w:val="hybridMultilevel"/>
    <w:tmpl w:val="E192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2691"/>
    <w:multiLevelType w:val="hybridMultilevel"/>
    <w:tmpl w:val="E0E0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93C46"/>
    <w:multiLevelType w:val="hybridMultilevel"/>
    <w:tmpl w:val="F45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4"/>
    <w:rsid w:val="00013C6C"/>
    <w:rsid w:val="000D2B94"/>
    <w:rsid w:val="00127845"/>
    <w:rsid w:val="00153769"/>
    <w:rsid w:val="001C7827"/>
    <w:rsid w:val="002262D3"/>
    <w:rsid w:val="002748DF"/>
    <w:rsid w:val="002D5BC4"/>
    <w:rsid w:val="002E1C50"/>
    <w:rsid w:val="00316384"/>
    <w:rsid w:val="00344739"/>
    <w:rsid w:val="003B43B8"/>
    <w:rsid w:val="00454BDE"/>
    <w:rsid w:val="004B10F1"/>
    <w:rsid w:val="004E636F"/>
    <w:rsid w:val="00577A93"/>
    <w:rsid w:val="005E6C9D"/>
    <w:rsid w:val="00761759"/>
    <w:rsid w:val="007A526F"/>
    <w:rsid w:val="00914BFD"/>
    <w:rsid w:val="00A47CEA"/>
    <w:rsid w:val="00A76973"/>
    <w:rsid w:val="00AD460D"/>
    <w:rsid w:val="00AF27FA"/>
    <w:rsid w:val="00B334A6"/>
    <w:rsid w:val="00BE2DFC"/>
    <w:rsid w:val="00D56A52"/>
    <w:rsid w:val="00D66C6A"/>
    <w:rsid w:val="00E6455E"/>
    <w:rsid w:val="00E82451"/>
    <w:rsid w:val="00EB6B64"/>
    <w:rsid w:val="00EE5DC7"/>
    <w:rsid w:val="00EF731D"/>
    <w:rsid w:val="00F253FA"/>
    <w:rsid w:val="00FE382C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8C0A"/>
  <w15:chartTrackingRefBased/>
  <w15:docId w15:val="{EE570BEE-D9EF-421A-BE1F-2BDA70C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A6"/>
    <w:pPr>
      <w:ind w:left="720"/>
      <w:contextualSpacing/>
    </w:pPr>
  </w:style>
  <w:style w:type="table" w:styleId="a4">
    <w:name w:val="Table Grid"/>
    <w:basedOn w:val="a1"/>
    <w:uiPriority w:val="39"/>
    <w:rsid w:val="0001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9CF9-1327-4E3C-B774-D176A652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( по местному самоуправлению)</dc:creator>
  <cp:keywords/>
  <dc:description/>
  <cp:lastModifiedBy>Ведущий специалист ( по местному самоуправлению)</cp:lastModifiedBy>
  <cp:revision>8</cp:revision>
  <cp:lastPrinted>2020-09-24T08:38:00Z</cp:lastPrinted>
  <dcterms:created xsi:type="dcterms:W3CDTF">2020-09-25T05:53:00Z</dcterms:created>
  <dcterms:modified xsi:type="dcterms:W3CDTF">2020-09-25T06:12:00Z</dcterms:modified>
</cp:coreProperties>
</file>